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02">
      <w:pPr>
        <w:pStyle w:val="Subtitle"/>
        <w:rPr>
          <w:vertAlign w:val="baseline"/>
        </w:rPr>
      </w:pPr>
      <w:r w:rsidDel="00000000" w:rsidR="00000000" w:rsidRPr="00000000">
        <w:rPr>
          <w:b w:val="1"/>
          <w:smallCaps w:val="1"/>
          <w:vertAlign w:val="baseline"/>
          <w:rtl w:val="0"/>
        </w:rPr>
        <w:t xml:space="preserve">Evaluation Goals &amp; Objectives</w:t>
        <w:br w:type="textWrapping"/>
      </w:r>
      <w:r w:rsidDel="00000000" w:rsidR="00000000" w:rsidRPr="00000000">
        <w:rPr>
          <w:rtl w:val="0"/>
        </w:rPr>
      </w:r>
    </w:p>
    <w:tbl>
      <w:tblPr>
        <w:tblStyle w:val="Table1"/>
        <w:tblW w:w="14010.0" w:type="dxa"/>
        <w:jc w:val="left"/>
        <w:tblInd w:w="600.0" w:type="dxa"/>
        <w:tblLayout w:type="fixed"/>
        <w:tblLook w:val="0000"/>
      </w:tblPr>
      <w:tblGrid>
        <w:gridCol w:w="1440"/>
        <w:gridCol w:w="4560"/>
        <w:gridCol w:w="975"/>
        <w:gridCol w:w="7035"/>
        <w:tblGridChange w:id="0">
          <w:tblGrid>
            <w:gridCol w:w="1440"/>
            <w:gridCol w:w="4560"/>
            <w:gridCol w:w="975"/>
            <w:gridCol w:w="7035"/>
          </w:tblGrid>
        </w:tblGridChange>
      </w:tblGrid>
      <w:tr>
        <w:trPr>
          <w:cantSplit w:val="0"/>
          <w:tblHeader w:val="0"/>
        </w:trPr>
        <w:tc>
          <w:tcPr>
            <w:vAlign w:val="top"/>
          </w:tcPr>
          <w:p w:rsidR="00000000" w:rsidDel="00000000" w:rsidP="00000000" w:rsidRDefault="00000000" w:rsidRPr="00000000" w14:paraId="00000003">
            <w:pPr>
              <w:pStyle w:val="Heading1"/>
              <w:jc w:val="left"/>
              <w:rPr>
                <w:vertAlign w:val="baseline"/>
              </w:rPr>
            </w:pPr>
            <w:r w:rsidDel="00000000" w:rsidR="00000000" w:rsidRPr="00000000">
              <w:rPr>
                <w:b w:val="1"/>
                <w:vertAlign w:val="baseline"/>
                <w:rtl w:val="0"/>
              </w:rPr>
              <w:t xml:space="preserve">Employee:</w:t>
            </w:r>
            <w:r w:rsidDel="00000000" w:rsidR="00000000" w:rsidRPr="00000000">
              <w:rPr>
                <w:rtl w:val="0"/>
              </w:rPr>
            </w:r>
          </w:p>
        </w:tc>
        <w:tc>
          <w:tcPr>
            <w:vAlign w:val="top"/>
          </w:tcPr>
          <w:p w:rsidR="00000000" w:rsidDel="00000000" w:rsidP="00000000" w:rsidRDefault="00000000" w:rsidRPr="00000000" w14:paraId="00000004">
            <w:pPr>
              <w:pStyle w:val="Heading1"/>
              <w:jc w:val="left"/>
              <w:rPr>
                <w:b w:val="0"/>
                <w:vertAlign w:val="baseline"/>
              </w:rPr>
            </w:pPr>
            <w:r w:rsidDel="00000000" w:rsidR="00000000" w:rsidRPr="00000000">
              <w:rPr>
                <w:b w:val="0"/>
                <w:vertAlign w:val="baseline"/>
                <w:rtl w:val="0"/>
              </w:rPr>
              <w:t xml:space="preserve">     </w:t>
            </w:r>
          </w:p>
        </w:tc>
        <w:tc>
          <w:tcPr>
            <w:vAlign w:val="top"/>
          </w:tcPr>
          <w:p w:rsidR="00000000" w:rsidDel="00000000" w:rsidP="00000000" w:rsidRDefault="00000000" w:rsidRPr="00000000" w14:paraId="00000005">
            <w:pPr>
              <w:pStyle w:val="Heading1"/>
              <w:jc w:val="left"/>
              <w:rPr>
                <w:vertAlign w:val="baseline"/>
              </w:rPr>
            </w:pPr>
            <w:r w:rsidDel="00000000" w:rsidR="00000000" w:rsidRPr="00000000">
              <w:rPr>
                <w:b w:val="1"/>
                <w:vertAlign w:val="baseline"/>
                <w:rtl w:val="0"/>
              </w:rPr>
              <w:t xml:space="preserve">School:</w:t>
            </w:r>
            <w:r w:rsidDel="00000000" w:rsidR="00000000" w:rsidRPr="00000000">
              <w:rPr>
                <w:rtl w:val="0"/>
              </w:rPr>
            </w:r>
          </w:p>
        </w:tc>
        <w:tc>
          <w:tcPr>
            <w:vAlign w:val="top"/>
          </w:tcPr>
          <w:p w:rsidR="00000000" w:rsidDel="00000000" w:rsidP="00000000" w:rsidRDefault="00000000" w:rsidRPr="00000000" w14:paraId="00000006">
            <w:pPr>
              <w:pStyle w:val="Heading1"/>
              <w:jc w:val="left"/>
              <w:rPr>
                <w:b w:val="0"/>
                <w:vertAlign w:val="baseline"/>
              </w:rPr>
            </w:pPr>
            <w:r w:rsidDel="00000000" w:rsidR="00000000" w:rsidRPr="00000000">
              <w:rPr>
                <w:rtl w:val="0"/>
              </w:rPr>
            </w:r>
          </w:p>
        </w:tc>
      </w:tr>
    </w:tbl>
    <w:p w:rsidR="00000000" w:rsidDel="00000000" w:rsidP="00000000" w:rsidRDefault="00000000" w:rsidRPr="00000000" w14:paraId="00000007">
      <w:pPr>
        <w:pStyle w:val="Heading1"/>
        <w:rPr>
          <w:vertAlign w:val="baseline"/>
        </w:rPr>
      </w:pPr>
      <w:r w:rsidDel="00000000" w:rsidR="00000000" w:rsidRPr="00000000">
        <w:rPr>
          <w:b w:val="1"/>
          <w:vertAlign w:val="baseline"/>
          <w:rtl w:val="0"/>
        </w:rPr>
        <w:br w:type="textWrapping"/>
        <w:t xml:space="preserve">STANDARD TWO</w:t>
      </w:r>
      <w:r w:rsidDel="00000000" w:rsidR="00000000" w:rsidRPr="00000000">
        <w:rPr>
          <w:rtl w:val="0"/>
        </w:rPr>
      </w:r>
    </w:p>
    <w:p w:rsidR="00000000" w:rsidDel="00000000" w:rsidP="00000000" w:rsidRDefault="00000000" w:rsidRPr="00000000" w14:paraId="00000008">
      <w:pPr>
        <w:pStyle w:val="Heading2"/>
        <w:rPr>
          <w:vertAlign w:val="baseline"/>
        </w:rPr>
      </w:pPr>
      <w:r w:rsidDel="00000000" w:rsidR="00000000" w:rsidRPr="00000000">
        <w:rPr>
          <w:b w:val="1"/>
          <w:vertAlign w:val="baseline"/>
          <w:rtl w:val="0"/>
        </w:rPr>
        <w:t xml:space="preserve">CREATING &amp; MAINTAINING EFFECTIVE ENVIRONMENTS FOR STUDENT LEARNING</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A">
      <w:pPr>
        <w:ind w:left="630" w:right="600" w:firstLine="0"/>
        <w:rPr>
          <w:b w:val="0"/>
          <w:i w:val="0"/>
          <w:sz w:val="20"/>
          <w:szCs w:val="20"/>
          <w:vertAlign w:val="baseline"/>
        </w:rPr>
      </w:pPr>
      <w:r w:rsidDel="00000000" w:rsidR="00000000" w:rsidRPr="00000000">
        <w:rPr>
          <w:i w:val="1"/>
          <w:sz w:val="20"/>
          <w:szCs w:val="20"/>
          <w:vertAlign w:val="baseline"/>
          <w:rtl w:val="0"/>
        </w:rPr>
        <w:t xml:space="preserve">The elements represent the key components of each standard.  It is </w:t>
      </w:r>
      <w:r w:rsidDel="00000000" w:rsidR="00000000" w:rsidRPr="00000000">
        <w:rPr>
          <w:i w:val="1"/>
          <w:sz w:val="20"/>
          <w:szCs w:val="20"/>
          <w:u w:val="single"/>
          <w:vertAlign w:val="baseline"/>
          <w:rtl w:val="0"/>
        </w:rPr>
        <w:t xml:space="preserve">not</w:t>
      </w:r>
      <w:r w:rsidDel="00000000" w:rsidR="00000000" w:rsidRPr="00000000">
        <w:rPr>
          <w:i w:val="1"/>
          <w:sz w:val="20"/>
          <w:szCs w:val="20"/>
          <w:vertAlign w:val="baseline"/>
          <w:rtl w:val="0"/>
        </w:rPr>
        <w:t xml:space="preserve"> necessary to write an individual goal or objective for each element.  The elements are listed as a guide to assist in defining and developing goals &amp; objectives.  Numbers are provided for ease of reference.  They do not imply priority or ordering of the elements.</w:t>
      </w:r>
      <w:r w:rsidDel="00000000" w:rsidR="00000000" w:rsidRPr="00000000">
        <w:rPr>
          <w:rtl w:val="0"/>
        </w:rPr>
      </w:r>
    </w:p>
    <w:p w:rsidR="00000000" w:rsidDel="00000000" w:rsidP="00000000" w:rsidRDefault="00000000" w:rsidRPr="00000000" w14:paraId="0000000B">
      <w:pPr>
        <w:jc w:val="both"/>
        <w:rPr>
          <w:b w:val="0"/>
          <w:i w:val="0"/>
          <w:sz w:val="20"/>
          <w:szCs w:val="20"/>
          <w:vertAlign w:val="baseline"/>
        </w:rPr>
      </w:pPr>
      <w:r w:rsidDel="00000000" w:rsidR="00000000" w:rsidRPr="00000000">
        <w:rPr>
          <w:rtl w:val="0"/>
        </w:rPr>
      </w:r>
    </w:p>
    <w:tbl>
      <w:tblPr>
        <w:tblStyle w:val="Table2"/>
        <w:tblW w:w="14055.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062.0000000000005"/>
        <w:gridCol w:w="7413.000000000001"/>
        <w:gridCol w:w="2580"/>
        <w:tblGridChange w:id="0">
          <w:tblGrid>
            <w:gridCol w:w="4062.0000000000005"/>
            <w:gridCol w:w="7413.000000000001"/>
            <w:gridCol w:w="2580"/>
          </w:tblGrid>
        </w:tblGridChange>
      </w:tblGrid>
      <w:tr>
        <w:trPr>
          <w:cantSplit w:val="0"/>
          <w:trHeight w:val="18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C">
            <w:pPr>
              <w:rPr>
                <w:b w:val="0"/>
                <w:vertAlign w:val="baseline"/>
              </w:rPr>
            </w:pPr>
            <w:r w:rsidDel="00000000" w:rsidR="00000000" w:rsidRPr="00000000">
              <w:rPr>
                <w:b w:val="1"/>
                <w:vertAlign w:val="baseline"/>
                <w:rtl w:val="0"/>
              </w:rPr>
              <w:t xml:space="preserve">Elements: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rPr>
                <w:b w:val="0"/>
                <w:vertAlign w:val="baseline"/>
              </w:rPr>
            </w:pPr>
            <w:r w:rsidDel="00000000" w:rsidR="00000000" w:rsidRPr="00000000">
              <w:rPr>
                <w:b w:val="1"/>
                <w:vertAlign w:val="baseline"/>
                <w:rtl w:val="0"/>
              </w:rPr>
              <w:t xml:space="preserve">Goals &amp; Objectives:</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0E">
            <w:pPr>
              <w:rPr>
                <w:b w:val="0"/>
                <w:vertAlign w:val="baseline"/>
              </w:rPr>
            </w:pPr>
            <w:r w:rsidDel="00000000" w:rsidR="00000000" w:rsidRPr="00000000">
              <w:rPr>
                <w:b w:val="1"/>
                <w:vertAlign w:val="baseline"/>
                <w:rtl w:val="0"/>
              </w:rPr>
              <w:t xml:space="preserve">Evidenced by:</w:t>
            </w:r>
            <w:r w:rsidDel="00000000" w:rsidR="00000000" w:rsidRPr="00000000">
              <w:rPr>
                <w:rtl w:val="0"/>
              </w:rPr>
            </w:r>
          </w:p>
        </w:tc>
      </w:tr>
      <w:tr>
        <w:trPr>
          <w:cantSplit w:val="1"/>
          <w:trHeight w:val="810"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F">
            <w:pPr>
              <w:ind w:left="450" w:right="-15" w:hanging="450"/>
              <w:rPr>
                <w:vertAlign w:val="baseline"/>
              </w:rPr>
            </w:pPr>
            <w:r w:rsidDel="00000000" w:rsidR="00000000" w:rsidRPr="00000000">
              <w:rPr>
                <w:rtl w:val="0"/>
              </w:rPr>
              <w:t xml:space="preserve">2-A: Teachers guide learning through mutually respectful, supportive, and challenging experiences that result in each student’s academic and social–emotional growth.</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0">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1">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2">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3">
            <w:pPr>
              <w:rPr>
                <w:sz w:val="22"/>
                <w:szCs w:val="22"/>
                <w:vertAlign w:val="baseline"/>
              </w:rPr>
            </w:pPr>
            <w:r w:rsidDel="00000000" w:rsidR="00000000" w:rsidRPr="00000000">
              <w:rPr>
                <w:sz w:val="22"/>
                <w:szCs w:val="22"/>
                <w:vertAlign w:val="baseline"/>
                <w:rtl w:val="0"/>
              </w:rPr>
              <w:t xml:space="preserve">     </w:t>
              <w:br w:type="textWrapping"/>
            </w:r>
          </w:p>
          <w:p w:rsidR="00000000" w:rsidDel="00000000" w:rsidP="00000000" w:rsidRDefault="00000000" w:rsidRPr="00000000" w14:paraId="00000014">
            <w:pPr>
              <w:rPr>
                <w:sz w:val="22"/>
                <w:szCs w:val="22"/>
                <w:vertAlign w:val="baseline"/>
              </w:rPr>
            </w:pPr>
            <w:r w:rsidDel="00000000" w:rsidR="00000000" w:rsidRPr="00000000">
              <w:rPr>
                <w:sz w:val="22"/>
                <w:szCs w:val="22"/>
                <w:vertAlign w:val="baseline"/>
                <w:rtl w:val="0"/>
              </w:rPr>
              <w:t xml:space="preserve">     </w:t>
            </w:r>
          </w:p>
        </w:tc>
        <w:tc>
          <w:tcPr>
            <w:vMerge w:val="restart"/>
            <w:tcBorders>
              <w:top w:color="000000" w:space="0" w:sz="4" w:val="single"/>
              <w:left w:color="000000" w:space="0" w:sz="4" w:val="single"/>
            </w:tcBorders>
            <w:vAlign w:val="top"/>
          </w:tcPr>
          <w:p w:rsidR="00000000" w:rsidDel="00000000" w:rsidP="00000000" w:rsidRDefault="00000000" w:rsidRPr="00000000" w14:paraId="00000015">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6">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7">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8">
            <w:pPr>
              <w:rPr>
                <w:b w:val="0"/>
                <w:sz w:val="22"/>
                <w:szCs w:val="22"/>
                <w:vertAlign w:val="baseline"/>
              </w:rPr>
            </w:pPr>
            <w:r w:rsidDel="00000000" w:rsidR="00000000" w:rsidRPr="00000000">
              <w:rPr>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019">
            <w:pPr>
              <w:rPr>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tc>
      </w:tr>
      <w:tr>
        <w:trPr>
          <w:cantSplit w:val="1"/>
          <w:trHeight w:val="969"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A">
            <w:pPr>
              <w:ind w:left="450" w:right="-15" w:hanging="450"/>
              <w:rPr>
                <w:vertAlign w:val="baseline"/>
              </w:rPr>
            </w:pPr>
            <w:r w:rsidDel="00000000" w:rsidR="00000000" w:rsidRPr="00000000">
              <w:rPr>
                <w:rtl w:val="0"/>
              </w:rPr>
              <w:t xml:space="preserve">2-B: Teachers communicate, model, practice, and sustain high standards of individual and group behavior that reflect, affirm, and respect diversity, and facilitate productive interactions to maximize opportunities for each student to learn and thrive.</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685"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D">
            <w:pPr>
              <w:ind w:left="450" w:right="-15" w:hanging="450"/>
              <w:rPr>
                <w:vertAlign w:val="baseline"/>
              </w:rPr>
            </w:pPr>
            <w:r w:rsidDel="00000000" w:rsidR="00000000" w:rsidRPr="00000000">
              <w:rPr>
                <w:vertAlign w:val="baseline"/>
                <w:rtl w:val="0"/>
              </w:rPr>
              <w:t xml:space="preserve">2-</w:t>
            </w:r>
            <w:r w:rsidDel="00000000" w:rsidR="00000000" w:rsidRPr="00000000">
              <w:rPr>
                <w:rtl w:val="0"/>
              </w:rPr>
              <w:t xml:space="preserve">C: Teachers organize and manage learning structures, processes, resources, and supports in order to provide a safe and productive learning environment in which each student can grow and thrive.</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674"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0">
            <w:pPr>
              <w:ind w:left="450" w:right="-15" w:hanging="450"/>
              <w:rPr>
                <w:vertAlign w:val="baseline"/>
              </w:rPr>
            </w:pPr>
            <w:r w:rsidDel="00000000" w:rsidR="00000000" w:rsidRPr="00000000">
              <w:rPr>
                <w:vertAlign w:val="baseline"/>
                <w:rtl w:val="0"/>
              </w:rPr>
              <w:t xml:space="preserve">2-</w:t>
            </w:r>
            <w:r w:rsidDel="00000000" w:rsidR="00000000" w:rsidRPr="00000000">
              <w:rPr>
                <w:rtl w:val="0"/>
              </w:rPr>
              <w:t xml:space="preserve">D: Teachers build on students’ assets—students’ abilities and talents, prior learning and peer and social group interactions, languages and cultures, and family and community experiences— to ensure that students’ identities are included in classroom interactions and future learning experiences.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Signatures: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r>
      <w:r w:rsidDel="00000000" w:rsidR="00000000" w:rsidRPr="00000000">
        <w:rPr>
          <w:b w:val="1"/>
          <w:rtl w:val="0"/>
        </w:rPr>
        <w:t xml:space="preserve">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t xml:space="preserve">Employee</w:t>
        <w:tab/>
        <w:t xml:space="preserve">Administrator</w:t>
        <w:tab/>
        <w:tab/>
        <w:tab/>
        <w:tab/>
        <w:tab/>
        <w:tab/>
        <w:t xml:space="preserve">  Date</w:t>
      </w:r>
      <w:r w:rsidDel="00000000" w:rsidR="00000000" w:rsidRPr="00000000">
        <w:rPr>
          <w:rtl w:val="0"/>
        </w:rPr>
      </w:r>
    </w:p>
    <w:sectPr>
      <w:footerReference r:id="rId6" w:type="default"/>
      <w:pgSz w:h="12240" w:w="15840" w:orient="landscape"/>
      <w:pgMar w:bottom="288" w:top="245" w:left="288" w:right="288" w:header="43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b w:val="1"/>
        <w:sz w:val="18"/>
        <w:szCs w:val="18"/>
        <w:rtl w:val="0"/>
      </w:rPr>
      <w:t xml:space="preserve">Revised 9/16/2025</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jc w:val="center"/>
    </w:pPr>
    <w:rPr>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mallCap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