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COTATI-ROHNERT PARK UNIFIED SCHOOL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Evaluation Goals &amp;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10.0" w:type="dxa"/>
        <w:jc w:val="left"/>
        <w:tblInd w:w="600.0" w:type="dxa"/>
        <w:tblLayout w:type="fixed"/>
        <w:tblLook w:val="0000"/>
      </w:tblPr>
      <w:tblGrid>
        <w:gridCol w:w="1440"/>
        <w:gridCol w:w="4560"/>
        <w:gridCol w:w="975"/>
        <w:gridCol w:w="7035"/>
        <w:tblGridChange w:id="0">
          <w:tblGrid>
            <w:gridCol w:w="1440"/>
            <w:gridCol w:w="4560"/>
            <w:gridCol w:w="975"/>
            <w:gridCol w:w="70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Employee: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School: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STANDARD 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PLANNING INSTRUCTION &amp; DESIGNING LEARNING EXPERIENCES FOR ALL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right="600" w:firstLine="0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The elements represent the key components of each standard.  It is </w:t>
      </w:r>
      <w:r w:rsidDel="00000000" w:rsidR="00000000" w:rsidRPr="00000000">
        <w:rPr>
          <w:i w:val="1"/>
          <w:sz w:val="20"/>
          <w:szCs w:val="20"/>
          <w:u w:val="single"/>
          <w:vertAlign w:val="baseline"/>
          <w:rtl w:val="0"/>
        </w:rPr>
        <w:t xml:space="preserve">not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 necessary to write an individual goal or objective for each element.  The elements are listed as a guide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to assist in defining and developing goals &amp; objectives.  Numbers are provided for ease of reference.  They do not imply priority or ordering of the elements.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9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107"/>
        <w:gridCol w:w="7278.000000000001"/>
        <w:gridCol w:w="2557"/>
        <w:tblGridChange w:id="0">
          <w:tblGrid>
            <w:gridCol w:w="4107"/>
            <w:gridCol w:w="7278.000000000001"/>
            <w:gridCol w:w="2557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Elements: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Goals &amp; Objectives: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Evidenced by: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left="450" w:right="0" w:hanging="45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4-A: Teachers shape instructional plans that are informed by student goals, curriculum, evidence-based teaching strategies, materials, and resources attuned to the broad range of students’ identities, prior knowledge, areas for growth, and interests.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ind w:left="450" w:hanging="45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4-B: Teachers use varied instructional practices to craft effective learning experiences focused on the students they serve and the curriculum they teach.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ind w:left="450" w:hanging="45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4-C: Teachers advance student learning by employing varied instructional strategies and supports that help build students’ knowledge and skills and that facilitate student engagement, well-being, and efficacy.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ind w:left="450" w:hanging="45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4-</w:t>
            </w:r>
            <w:r w:rsidDel="00000000" w:rsidR="00000000" w:rsidRPr="00000000">
              <w:rPr>
                <w:rtl w:val="0"/>
              </w:rPr>
              <w:t xml:space="preserve">D:</w:t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Teachers vary their instructional practices to differentiate the kinds of student learning activities and levels of support needed to address the breadth of students’ identified assets and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Signatures: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Employee</w:t>
        <w:tab/>
        <w:t xml:space="preserve"> Administrator</w:t>
        <w:tab/>
        <w:tab/>
        <w:tab/>
        <w:tab/>
        <w:tab/>
        <w:t xml:space="preserve">  Date</w:t>
      </w: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288" w:top="245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Cotati-Rohnert Park Unified School District</w:t>
      <w:tab/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sz w:val="18"/>
        <w:szCs w:val="18"/>
        <w:rtl w:val="0"/>
      </w:rPr>
      <w:t xml:space="preserve">Revised </w:t>
    </w:r>
    <w:r w:rsidDel="00000000" w:rsidR="00000000" w:rsidRPr="00000000">
      <w:rPr>
        <w:b w:val="1"/>
        <w:sz w:val="16"/>
        <w:szCs w:val="16"/>
        <w:rtl w:val="0"/>
      </w:rPr>
      <w:t xml:space="preserve">9/16/2025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b w:val="1"/>
      <w:smallCaps w:val="1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